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1C3C" w14:textId="77777777" w:rsidR="00C0171E" w:rsidRDefault="00C0171E" w:rsidP="007A6571">
      <w:pPr>
        <w:rPr>
          <w:rFonts w:cstheme="minorHAnsi"/>
          <w:b/>
          <w:bCs/>
          <w:sz w:val="24"/>
          <w:szCs w:val="24"/>
        </w:rPr>
      </w:pPr>
    </w:p>
    <w:p w14:paraId="1DA8148B" w14:textId="2CC81847" w:rsidR="007A6571" w:rsidRPr="007F4524" w:rsidRDefault="007A6571" w:rsidP="007A6571">
      <w:pPr>
        <w:rPr>
          <w:rFonts w:cstheme="minorHAnsi"/>
          <w:b/>
          <w:bCs/>
          <w:sz w:val="24"/>
          <w:szCs w:val="24"/>
        </w:rPr>
      </w:pPr>
      <w:r w:rsidRPr="007F4524">
        <w:rPr>
          <w:rFonts w:cstheme="minorHAnsi"/>
          <w:b/>
          <w:bCs/>
          <w:sz w:val="24"/>
          <w:szCs w:val="24"/>
        </w:rPr>
        <w:t>Activity Descriptions</w:t>
      </w:r>
      <w:r>
        <w:rPr>
          <w:rFonts w:cstheme="minorHAnsi"/>
          <w:b/>
          <w:bCs/>
          <w:sz w:val="24"/>
          <w:szCs w:val="24"/>
        </w:rPr>
        <w:t xml:space="preserve"> and Types of Activities</w:t>
      </w:r>
    </w:p>
    <w:p w14:paraId="5428E140" w14:textId="77777777" w:rsidR="007A6571" w:rsidRPr="007F4524" w:rsidRDefault="007A6571" w:rsidP="007A6571">
      <w:pPr>
        <w:shd w:val="clear" w:color="auto" w:fill="FFFFFF"/>
        <w:spacing w:after="150" w:line="240" w:lineRule="auto"/>
        <w:outlineLvl w:val="0"/>
        <w:rPr>
          <w:rFonts w:eastAsia="Times New Roman" w:cstheme="minorHAnsi"/>
          <w:b/>
          <w:bCs/>
          <w:color w:val="222222"/>
          <w:kern w:val="36"/>
          <w:sz w:val="24"/>
          <w:szCs w:val="24"/>
        </w:rPr>
      </w:pPr>
      <w:r w:rsidRPr="007F4524">
        <w:rPr>
          <w:rFonts w:eastAsia="Times New Roman" w:cstheme="minorHAnsi"/>
          <w:b/>
          <w:bCs/>
          <w:color w:val="222222"/>
          <w:kern w:val="36"/>
          <w:sz w:val="24"/>
          <w:szCs w:val="24"/>
        </w:rPr>
        <w:t>Providership</w:t>
      </w:r>
    </w:p>
    <w:p w14:paraId="3F563C67" w14:textId="77777777" w:rsidR="007A6571" w:rsidRPr="007F4524" w:rsidRDefault="007A6571" w:rsidP="007A6571">
      <w:pPr>
        <w:shd w:val="clear" w:color="auto" w:fill="FFFFFF"/>
        <w:spacing w:after="360" w:line="240" w:lineRule="auto"/>
        <w:rPr>
          <w:rFonts w:eastAsia="Times New Roman" w:cstheme="minorHAnsi"/>
          <w:sz w:val="24"/>
          <w:szCs w:val="24"/>
        </w:rPr>
      </w:pPr>
      <w:r w:rsidRPr="007F4524">
        <w:rPr>
          <w:rFonts w:eastAsia="Times New Roman" w:cstheme="minorHAnsi"/>
          <w:color w:val="222222"/>
          <w:sz w:val="24"/>
          <w:szCs w:val="24"/>
        </w:rPr>
        <w:t>The U</w:t>
      </w:r>
      <w:r>
        <w:rPr>
          <w:rFonts w:eastAsia="Times New Roman" w:cstheme="minorHAnsi"/>
          <w:color w:val="222222"/>
          <w:sz w:val="24"/>
          <w:szCs w:val="24"/>
        </w:rPr>
        <w:t>Mass</w:t>
      </w:r>
      <w:r w:rsidRPr="007F4524">
        <w:rPr>
          <w:rFonts w:eastAsia="Times New Roman" w:cstheme="minorHAnsi"/>
          <w:color w:val="222222"/>
          <w:sz w:val="24"/>
          <w:szCs w:val="24"/>
        </w:rPr>
        <w:t xml:space="preserve"> Chan Medical School</w:t>
      </w:r>
      <w:r>
        <w:rPr>
          <w:rFonts w:eastAsia="Times New Roman" w:cstheme="minorHAnsi"/>
          <w:color w:val="222222"/>
          <w:sz w:val="24"/>
          <w:szCs w:val="24"/>
        </w:rPr>
        <w:t xml:space="preserve"> -</w:t>
      </w:r>
      <w:r w:rsidRPr="007F4524">
        <w:rPr>
          <w:rFonts w:eastAsia="Times New Roman" w:cstheme="minorHAnsi"/>
          <w:color w:val="222222"/>
          <w:sz w:val="24"/>
          <w:szCs w:val="24"/>
        </w:rPr>
        <w:t xml:space="preserve"> Office of Continuing Medical Education (UMass Chan - OCME) is an accredited provider of CME under the Accreditation Council for Continuing Medical Education.  Our office provides cost-effective providership opportunities to internal and external organizations whose mission compliments that of the UMass Chan Medical School-OCME.  Please note that we are only able to consider those requests which comply with the rules and regulations established by the ACCME's </w:t>
      </w:r>
      <w:r w:rsidRPr="007F4524">
        <w:rPr>
          <w:rFonts w:cstheme="minorHAnsi"/>
          <w:spacing w:val="6"/>
          <w:sz w:val="24"/>
          <w:szCs w:val="24"/>
          <w:shd w:val="clear" w:color="auto" w:fill="FFFFFF"/>
        </w:rPr>
        <w:t>Standards for Integrity and Independence.</w:t>
      </w:r>
      <w:r w:rsidRPr="007F4524">
        <w:rPr>
          <w:rFonts w:eastAsia="Times New Roman" w:cstheme="minorHAnsi"/>
          <w:sz w:val="24"/>
          <w:szCs w:val="24"/>
        </w:rPr>
        <w:t xml:space="preserve"> </w:t>
      </w:r>
    </w:p>
    <w:p w14:paraId="6A580153" w14:textId="77777777" w:rsidR="007A6571" w:rsidRPr="007F4524" w:rsidRDefault="007A6571" w:rsidP="007A6571">
      <w:pPr>
        <w:shd w:val="clear" w:color="auto" w:fill="FFFFFF"/>
        <w:spacing w:after="360" w:line="240" w:lineRule="auto"/>
        <w:rPr>
          <w:rFonts w:ascii="Calibri" w:eastAsia="Times New Roman" w:hAnsi="Calibri" w:cs="Calibri"/>
          <w:color w:val="222222"/>
          <w:sz w:val="24"/>
          <w:szCs w:val="24"/>
        </w:rPr>
      </w:pPr>
      <w:r w:rsidRPr="007F4524">
        <w:rPr>
          <w:rFonts w:eastAsia="Times New Roman" w:cstheme="minorHAnsi"/>
          <w:color w:val="222222"/>
          <w:sz w:val="24"/>
          <w:szCs w:val="24"/>
        </w:rPr>
        <w:t>The overall goal of the Office of Continuing Medical Education is to provide physicians and other healthcare professionals with programs aimed at improving their skills and knowledge to assist them in the delivery of outstanding medical care.  The UMass Chan Medical School-OCME works to assist presenting departments, as well as joint providers in developing and executing quality educational programs that meet the needs of today’s practicing physicians and healthcare professionals. </w:t>
      </w:r>
      <w:r w:rsidRPr="007F4524">
        <w:rPr>
          <w:rFonts w:eastAsia="Times New Roman" w:cstheme="minorHAnsi"/>
          <w:color w:val="222222"/>
          <w:sz w:val="24"/>
          <w:szCs w:val="24"/>
        </w:rPr>
        <w:br/>
      </w:r>
      <w:r w:rsidRPr="007F4524">
        <w:rPr>
          <w:rFonts w:eastAsia="Times New Roman" w:cstheme="minorHAnsi"/>
          <w:color w:val="222222"/>
          <w:sz w:val="24"/>
          <w:szCs w:val="24"/>
        </w:rPr>
        <w:br/>
      </w:r>
      <w:r w:rsidRPr="004E6BFA">
        <w:rPr>
          <w:rFonts w:ascii="Calibri" w:eastAsia="Times New Roman" w:hAnsi="Calibri" w:cs="Calibri"/>
          <w:b/>
          <w:bCs/>
          <w:color w:val="222222"/>
          <w:sz w:val="24"/>
          <w:szCs w:val="24"/>
        </w:rPr>
        <w:t>Directly Provided Activities</w:t>
      </w:r>
      <w:r w:rsidRPr="004E6BFA">
        <w:rPr>
          <w:rFonts w:ascii="Calibri" w:eastAsia="Times New Roman" w:hAnsi="Calibri" w:cs="Calibri"/>
          <w:b/>
          <w:bCs/>
          <w:color w:val="222222"/>
          <w:sz w:val="24"/>
          <w:szCs w:val="24"/>
        </w:rPr>
        <w:br/>
      </w:r>
      <w:r w:rsidRPr="007F4524">
        <w:rPr>
          <w:rFonts w:ascii="Calibri" w:eastAsia="Times New Roman" w:hAnsi="Calibri" w:cs="Calibri"/>
          <w:color w:val="222222"/>
          <w:sz w:val="24"/>
          <w:szCs w:val="24"/>
        </w:rPr>
        <w:t>Activities planned by departments of U</w:t>
      </w:r>
      <w:r>
        <w:rPr>
          <w:rFonts w:ascii="Calibri" w:eastAsia="Times New Roman" w:hAnsi="Calibri" w:cs="Calibri"/>
          <w:color w:val="222222"/>
          <w:sz w:val="24"/>
          <w:szCs w:val="24"/>
        </w:rPr>
        <w:t>Mass</w:t>
      </w:r>
      <w:r w:rsidRPr="007F4524">
        <w:rPr>
          <w:rFonts w:ascii="Calibri" w:eastAsia="Times New Roman" w:hAnsi="Calibri" w:cs="Calibri"/>
          <w:color w:val="222222"/>
          <w:sz w:val="24"/>
          <w:szCs w:val="24"/>
        </w:rPr>
        <w:t xml:space="preserve"> Chan Medical School, members of the UMass Memorial Medical Center and its affiliates are </w:t>
      </w:r>
      <w:r w:rsidRPr="007F4524">
        <w:rPr>
          <w:rFonts w:ascii="Calibri" w:eastAsia="Times New Roman" w:hAnsi="Calibri" w:cs="Calibri"/>
          <w:b/>
          <w:bCs/>
          <w:i/>
          <w:iCs/>
          <w:color w:val="222222"/>
          <w:sz w:val="24"/>
          <w:szCs w:val="24"/>
        </w:rPr>
        <w:t>Directly Provided</w:t>
      </w:r>
      <w:r w:rsidRPr="007F4524">
        <w:rPr>
          <w:rFonts w:ascii="Calibri" w:eastAsia="Times New Roman" w:hAnsi="Calibri" w:cs="Calibri"/>
          <w:color w:val="222222"/>
          <w:sz w:val="24"/>
          <w:szCs w:val="24"/>
        </w:rPr>
        <w:t> by UMass Chan Medical School.</w:t>
      </w:r>
    </w:p>
    <w:p w14:paraId="4D37B90C" w14:textId="77777777" w:rsidR="007A6571" w:rsidRDefault="007A6571" w:rsidP="007A6571">
      <w:pPr>
        <w:shd w:val="clear" w:color="auto" w:fill="FFFFFF"/>
        <w:spacing w:after="360" w:line="240" w:lineRule="auto"/>
        <w:rPr>
          <w:rFonts w:ascii="Calibri" w:eastAsia="Times New Roman" w:hAnsi="Calibri" w:cs="Calibri"/>
          <w:color w:val="222222"/>
          <w:sz w:val="24"/>
          <w:szCs w:val="24"/>
        </w:rPr>
      </w:pPr>
      <w:r w:rsidRPr="004E6BFA">
        <w:rPr>
          <w:rFonts w:ascii="Calibri" w:eastAsia="Times New Roman" w:hAnsi="Calibri" w:cs="Calibri"/>
          <w:b/>
          <w:bCs/>
          <w:color w:val="222222"/>
          <w:sz w:val="24"/>
          <w:szCs w:val="24"/>
        </w:rPr>
        <w:t>Joint providership</w:t>
      </w:r>
      <w:r w:rsidRPr="004E6BFA">
        <w:rPr>
          <w:rFonts w:ascii="Calibri" w:eastAsia="Times New Roman" w:hAnsi="Calibri" w:cs="Calibri"/>
          <w:b/>
          <w:bCs/>
          <w:color w:val="222222"/>
          <w:sz w:val="24"/>
          <w:szCs w:val="24"/>
        </w:rPr>
        <w:br/>
      </w:r>
      <w:r w:rsidRPr="007F4524">
        <w:rPr>
          <w:rFonts w:ascii="Calibri" w:eastAsia="Times New Roman" w:hAnsi="Calibri" w:cs="Calibri"/>
          <w:color w:val="222222"/>
          <w:sz w:val="24"/>
          <w:szCs w:val="24"/>
        </w:rPr>
        <w:t>The providership of a CME activity by one or more accredited and one or more nonaccredited organizations. Therefore, ACCME accredited providers that plan and present one or more activities with non-ACCME accredited providers are engaging in “joint providership.”  The accredited provider must take responsibility for a CME activity when it is presented in cooperation with a nonaccredited organization and must use the appropriate accreditation statement.</w:t>
      </w:r>
    </w:p>
    <w:p w14:paraId="6DC2F0C6" w14:textId="77777777" w:rsidR="007A6571" w:rsidRDefault="007A6571" w:rsidP="007A6571">
      <w:pPr>
        <w:pStyle w:val="NormalWeb"/>
        <w:shd w:val="clear" w:color="auto" w:fill="FFFFFF"/>
        <w:spacing w:before="0" w:beforeAutospacing="0" w:after="360" w:afterAutospacing="0"/>
        <w:rPr>
          <w:rStyle w:val="Strong"/>
          <w:rFonts w:ascii="Calibri" w:hAnsi="Calibri" w:cs="Calibri"/>
          <w:color w:val="222222"/>
        </w:rPr>
      </w:pPr>
    </w:p>
    <w:p w14:paraId="6A9BDFF3" w14:textId="77777777" w:rsidR="007A6571" w:rsidRDefault="007A6571" w:rsidP="007A6571">
      <w:pPr>
        <w:pStyle w:val="NormalWeb"/>
        <w:shd w:val="clear" w:color="auto" w:fill="FFFFFF"/>
        <w:spacing w:before="0" w:beforeAutospacing="0" w:after="360" w:afterAutospacing="0"/>
        <w:rPr>
          <w:rStyle w:val="Strong"/>
          <w:rFonts w:ascii="Calibri" w:hAnsi="Calibri" w:cs="Calibri"/>
          <w:color w:val="222222"/>
        </w:rPr>
      </w:pPr>
    </w:p>
    <w:p w14:paraId="78EB6F93" w14:textId="77777777" w:rsidR="007A6571" w:rsidRDefault="007A6571" w:rsidP="007A6571">
      <w:pPr>
        <w:pStyle w:val="NormalWeb"/>
        <w:shd w:val="clear" w:color="auto" w:fill="FFFFFF"/>
        <w:spacing w:before="0" w:beforeAutospacing="0" w:after="360" w:afterAutospacing="0"/>
        <w:rPr>
          <w:rStyle w:val="Strong"/>
          <w:rFonts w:ascii="Calibri" w:hAnsi="Calibri" w:cs="Calibri"/>
          <w:color w:val="222222"/>
        </w:rPr>
      </w:pPr>
    </w:p>
    <w:p w14:paraId="7B2455BB" w14:textId="77777777" w:rsidR="007A6571" w:rsidRDefault="007A6571" w:rsidP="007A6571">
      <w:pPr>
        <w:pStyle w:val="NormalWeb"/>
        <w:shd w:val="clear" w:color="auto" w:fill="FFFFFF"/>
        <w:spacing w:before="0" w:beforeAutospacing="0" w:after="360" w:afterAutospacing="0"/>
        <w:rPr>
          <w:rStyle w:val="Strong"/>
          <w:rFonts w:ascii="Calibri" w:hAnsi="Calibri" w:cs="Calibri"/>
          <w:color w:val="222222"/>
        </w:rPr>
      </w:pPr>
    </w:p>
    <w:p w14:paraId="3BF9E689" w14:textId="7F84903A" w:rsidR="007A6571" w:rsidRDefault="007A6571" w:rsidP="007A6571">
      <w:pPr>
        <w:pStyle w:val="NormalWeb"/>
        <w:shd w:val="clear" w:color="auto" w:fill="FFFFFF"/>
        <w:spacing w:before="0" w:beforeAutospacing="0" w:after="360" w:afterAutospacing="0"/>
        <w:rPr>
          <w:rStyle w:val="Strong"/>
          <w:rFonts w:ascii="Calibri" w:hAnsi="Calibri" w:cs="Calibri"/>
          <w:color w:val="222222"/>
        </w:rPr>
      </w:pPr>
    </w:p>
    <w:p w14:paraId="4C4F0A22" w14:textId="77777777" w:rsidR="00C0171E" w:rsidRDefault="00C0171E" w:rsidP="007A6571">
      <w:pPr>
        <w:pStyle w:val="NormalWeb"/>
        <w:shd w:val="clear" w:color="auto" w:fill="FFFFFF"/>
        <w:spacing w:before="0" w:beforeAutospacing="0" w:after="360" w:afterAutospacing="0"/>
        <w:rPr>
          <w:rStyle w:val="Strong"/>
          <w:rFonts w:ascii="Calibri" w:hAnsi="Calibri" w:cs="Calibri"/>
          <w:color w:val="222222"/>
        </w:rPr>
      </w:pPr>
    </w:p>
    <w:p w14:paraId="7D0DFC7E" w14:textId="363FE55E" w:rsidR="007A6571" w:rsidRDefault="007A6571" w:rsidP="007A6571">
      <w:pPr>
        <w:pStyle w:val="NormalWeb"/>
        <w:shd w:val="clear" w:color="auto" w:fill="FFFFFF"/>
        <w:spacing w:before="0" w:beforeAutospacing="0" w:after="360" w:afterAutospacing="0"/>
        <w:rPr>
          <w:rStyle w:val="Strong"/>
          <w:rFonts w:ascii="Calibri" w:hAnsi="Calibri" w:cs="Calibri"/>
          <w:color w:val="222222"/>
        </w:rPr>
      </w:pPr>
      <w:r w:rsidRPr="004E6BFA">
        <w:rPr>
          <w:rStyle w:val="Strong"/>
          <w:rFonts w:ascii="Calibri" w:hAnsi="Calibri" w:cs="Calibri"/>
          <w:color w:val="222222"/>
        </w:rPr>
        <w:t>Activity Types:</w:t>
      </w:r>
    </w:p>
    <w:p w14:paraId="1C9C6F1A" w14:textId="77777777" w:rsidR="007A6571" w:rsidRPr="007F4524" w:rsidRDefault="007A6571" w:rsidP="007A6571">
      <w:pPr>
        <w:pStyle w:val="NormalWeb"/>
        <w:shd w:val="clear" w:color="auto" w:fill="FFFFFF"/>
        <w:spacing w:before="0" w:beforeAutospacing="0" w:after="360" w:afterAutospacing="0"/>
        <w:rPr>
          <w:rFonts w:ascii="Calibri" w:hAnsi="Calibri" w:cs="Calibri"/>
          <w:color w:val="222222"/>
        </w:rPr>
      </w:pPr>
      <w:r w:rsidRPr="007F4524">
        <w:rPr>
          <w:rStyle w:val="Strong"/>
          <w:rFonts w:ascii="Calibri" w:hAnsi="Calibri" w:cs="Calibri"/>
          <w:color w:val="222222"/>
        </w:rPr>
        <w:t>Course:</w:t>
      </w:r>
      <w:r w:rsidRPr="007F4524">
        <w:rPr>
          <w:rFonts w:ascii="Calibri" w:hAnsi="Calibri" w:cs="Calibri"/>
          <w:color w:val="222222"/>
        </w:rPr>
        <w:t> A </w:t>
      </w:r>
      <w:r w:rsidRPr="007F4524">
        <w:rPr>
          <w:rStyle w:val="Emphasis"/>
          <w:rFonts w:ascii="Calibri" w:hAnsi="Calibri" w:cs="Calibri"/>
          <w:color w:val="222222"/>
        </w:rPr>
        <w:t>course</w:t>
      </w:r>
      <w:r w:rsidRPr="007F4524">
        <w:rPr>
          <w:rFonts w:ascii="Calibri" w:hAnsi="Calibri" w:cs="Calibri"/>
          <w:color w:val="222222"/>
        </w:rPr>
        <w:t> is a live activity where the learner participates in person. A course is planned as an individual event.</w:t>
      </w:r>
      <w:r w:rsidRPr="007F4524">
        <w:rPr>
          <w:rFonts w:ascii="Calibri" w:hAnsi="Calibri" w:cs="Calibri"/>
          <w:color w:val="222222"/>
        </w:rPr>
        <w:br/>
        <w:t>Examples: annual meeting, conference, seminar. (Occurring once or several times throughout the year)</w:t>
      </w:r>
    </w:p>
    <w:p w14:paraId="385EFFB4" w14:textId="77777777" w:rsidR="007A6571" w:rsidRPr="007F4524" w:rsidRDefault="007A6571" w:rsidP="007A6571">
      <w:pPr>
        <w:pStyle w:val="NormalWeb"/>
        <w:shd w:val="clear" w:color="auto" w:fill="FFFFFF"/>
        <w:spacing w:before="0" w:beforeAutospacing="0" w:after="360" w:afterAutospacing="0"/>
        <w:rPr>
          <w:rFonts w:ascii="Calibri" w:hAnsi="Calibri" w:cs="Calibri"/>
          <w:color w:val="222222"/>
        </w:rPr>
      </w:pPr>
      <w:r w:rsidRPr="007F4524">
        <w:rPr>
          <w:rStyle w:val="Strong"/>
          <w:rFonts w:ascii="Calibri" w:hAnsi="Calibri" w:cs="Calibri"/>
          <w:color w:val="222222"/>
        </w:rPr>
        <w:t>Internet Live Course:</w:t>
      </w:r>
      <w:r w:rsidRPr="007F4524">
        <w:rPr>
          <w:rFonts w:ascii="Calibri" w:hAnsi="Calibri" w:cs="Calibri"/>
          <w:color w:val="222222"/>
        </w:rPr>
        <w:t> An </w:t>
      </w:r>
      <w:r w:rsidRPr="007F4524">
        <w:rPr>
          <w:rStyle w:val="Emphasis"/>
          <w:rFonts w:ascii="Calibri" w:hAnsi="Calibri" w:cs="Calibri"/>
          <w:color w:val="222222"/>
        </w:rPr>
        <w:t>internet live course</w:t>
      </w:r>
      <w:r w:rsidRPr="007F4524">
        <w:rPr>
          <w:rFonts w:ascii="Calibri" w:hAnsi="Calibri" w:cs="Calibri"/>
          <w:color w:val="222222"/>
        </w:rPr>
        <w:t> is an online course available at a certain time on a certain date and is only available in real-time, just as if it were a course held in an auditorium.  Once the event has taken place, learners may no longer participate in that activity.  Examples: webcast, zoom, WebEx.</w:t>
      </w:r>
    </w:p>
    <w:p w14:paraId="2F846C44" w14:textId="77777777" w:rsidR="007A6571" w:rsidRPr="007F4524" w:rsidRDefault="007A6571" w:rsidP="007A6571">
      <w:pPr>
        <w:pStyle w:val="NormalWeb"/>
        <w:shd w:val="clear" w:color="auto" w:fill="FFFFFF"/>
        <w:spacing w:before="0" w:beforeAutospacing="0" w:after="360" w:afterAutospacing="0"/>
        <w:rPr>
          <w:rFonts w:ascii="Calibri" w:hAnsi="Calibri" w:cs="Calibri"/>
          <w:color w:val="222222"/>
        </w:rPr>
      </w:pPr>
      <w:r w:rsidRPr="007F4524">
        <w:rPr>
          <w:rStyle w:val="Strong"/>
          <w:rFonts w:ascii="Calibri" w:hAnsi="Calibri" w:cs="Calibri"/>
          <w:color w:val="222222"/>
        </w:rPr>
        <w:t>Internet Activity (Enduring Material):</w:t>
      </w:r>
      <w:r w:rsidRPr="007F4524">
        <w:rPr>
          <w:rFonts w:ascii="Calibri" w:hAnsi="Calibri" w:cs="Calibri"/>
          <w:color w:val="222222"/>
        </w:rPr>
        <w:t>  An </w:t>
      </w:r>
      <w:r w:rsidRPr="007F4524">
        <w:rPr>
          <w:rStyle w:val="Emphasis"/>
          <w:rFonts w:ascii="Calibri" w:hAnsi="Calibri" w:cs="Calibri"/>
          <w:color w:val="222222"/>
        </w:rPr>
        <w:t>internet enduring material </w:t>
      </w:r>
      <w:r w:rsidRPr="007F4524">
        <w:rPr>
          <w:rFonts w:ascii="Calibri" w:hAnsi="Calibri" w:cs="Calibri"/>
          <w:color w:val="222222"/>
        </w:rPr>
        <w:t>activity is available when the learner chooses to complete it.  It is “enduring,” meaning that there is not just one time on one day to participate in it.  Rather, the learner determines when he/she participates. Examples: online interactive educational module, recorded presentation, podcast.</w:t>
      </w:r>
    </w:p>
    <w:p w14:paraId="063A384F" w14:textId="77777777" w:rsidR="007A6571" w:rsidRDefault="007A6571" w:rsidP="007A6571">
      <w:pPr>
        <w:pStyle w:val="NormalWeb"/>
        <w:shd w:val="clear" w:color="auto" w:fill="FFFFFF"/>
        <w:spacing w:before="0" w:beforeAutospacing="0" w:after="360" w:afterAutospacing="0"/>
        <w:rPr>
          <w:rFonts w:ascii="Calibri" w:hAnsi="Calibri" w:cs="Calibri"/>
          <w:color w:val="222222"/>
        </w:rPr>
      </w:pPr>
      <w:r w:rsidRPr="007F4524">
        <w:rPr>
          <w:rStyle w:val="Strong"/>
          <w:rFonts w:ascii="Calibri" w:hAnsi="Calibri" w:cs="Calibri"/>
          <w:color w:val="222222"/>
        </w:rPr>
        <w:t>Regularly Scheduled Series (Internal Only):  </w:t>
      </w:r>
      <w:r w:rsidRPr="007F4524">
        <w:rPr>
          <w:rStyle w:val="Emphasis"/>
          <w:rFonts w:ascii="Calibri" w:hAnsi="Calibri" w:cs="Calibri"/>
          <w:color w:val="222222"/>
        </w:rPr>
        <w:t>Regularly scheduled series</w:t>
      </w:r>
      <w:r w:rsidRPr="007F4524">
        <w:rPr>
          <w:rFonts w:ascii="Calibri" w:hAnsi="Calibri" w:cs="Calibri"/>
          <w:color w:val="222222"/>
        </w:rPr>
        <w:t> is a</w:t>
      </w:r>
      <w:r>
        <w:rPr>
          <w:rFonts w:ascii="Calibri" w:hAnsi="Calibri" w:cs="Calibri"/>
          <w:color w:val="222222"/>
        </w:rPr>
        <w:t>n activity that is a series</w:t>
      </w:r>
      <w:r w:rsidRPr="007F4524">
        <w:rPr>
          <w:rFonts w:ascii="Calibri" w:hAnsi="Calibri" w:cs="Calibri"/>
          <w:color w:val="222222"/>
        </w:rPr>
        <w:t xml:space="preserve"> with multiple, ongoing sessions, and is primarily planned by and presented to the accredited organization’s professional staff.  Example</w:t>
      </w:r>
      <w:r>
        <w:rPr>
          <w:rFonts w:ascii="Calibri" w:hAnsi="Calibri" w:cs="Calibri"/>
          <w:color w:val="222222"/>
        </w:rPr>
        <w:t>s:</w:t>
      </w:r>
      <w:r w:rsidRPr="007F4524">
        <w:rPr>
          <w:rFonts w:ascii="Calibri" w:hAnsi="Calibri" w:cs="Calibri"/>
          <w:color w:val="222222"/>
        </w:rPr>
        <w:t xml:space="preserve"> include grand rounds, tumor boards, and morbidity and mortality conferences</w:t>
      </w:r>
      <w:r w:rsidRPr="00187E3F">
        <w:rPr>
          <w:rFonts w:ascii="Calibri" w:hAnsi="Calibri" w:cs="Calibri"/>
          <w:color w:val="222222"/>
        </w:rPr>
        <w:t xml:space="preserve"> </w:t>
      </w:r>
      <w:r w:rsidRPr="007F4524">
        <w:rPr>
          <w:rFonts w:ascii="Calibri" w:hAnsi="Calibri" w:cs="Calibri"/>
          <w:color w:val="222222"/>
        </w:rPr>
        <w:t>e.g., offered weekly, monthly, or quarterly</w:t>
      </w:r>
    </w:p>
    <w:p w14:paraId="401CF7C9" w14:textId="349DED16" w:rsidR="007A6571" w:rsidRPr="00725674" w:rsidRDefault="007A6571" w:rsidP="007A6571">
      <w:pPr>
        <w:pStyle w:val="NormalWeb"/>
        <w:shd w:val="clear" w:color="auto" w:fill="FFFFFF"/>
        <w:spacing w:before="0" w:beforeAutospacing="0" w:after="360" w:afterAutospacing="0"/>
        <w:rPr>
          <w:rFonts w:ascii="Calibri" w:hAnsi="Calibri" w:cs="Calibri"/>
          <w:color w:val="222222"/>
        </w:rPr>
      </w:pPr>
      <w:r w:rsidRPr="007F4524">
        <w:rPr>
          <w:rStyle w:val="Strong"/>
          <w:rFonts w:ascii="Calibri" w:hAnsi="Calibri" w:cs="Calibri"/>
          <w:color w:val="222222"/>
        </w:rPr>
        <w:t>Performance Improvement:</w:t>
      </w:r>
      <w:r w:rsidRPr="007233EA">
        <w:rPr>
          <w:rStyle w:val="Strong"/>
          <w:rFonts w:ascii="Calibri" w:hAnsi="Calibri" w:cs="Calibri"/>
          <w:b w:val="0"/>
          <w:bCs w:val="0"/>
          <w:color w:val="222222"/>
        </w:rPr>
        <w:t xml:space="preserve"> </w:t>
      </w:r>
      <w:r w:rsidRPr="00725674">
        <w:rPr>
          <w:rFonts w:ascii="Calibri" w:hAnsi="Calibri" w:cs="Calibri"/>
        </w:rPr>
        <w:t>I</w:t>
      </w:r>
      <w:r w:rsidRPr="00725674">
        <w:rPr>
          <w:rFonts w:ascii="Calibri" w:hAnsi="Calibri" w:cs="Calibri"/>
          <w:spacing w:val="6"/>
          <w:shd w:val="clear" w:color="auto" w:fill="FFFFFF"/>
        </w:rPr>
        <w:t>s structured as a three-stage process by which a physician or group of physicians learn about specific performance measures, assess their practice using the selected performance measures, implement interventions to improve performance related to these measures over a useful interval of time, and then reassess their practice using the same performance measures.</w:t>
      </w:r>
    </w:p>
    <w:p w14:paraId="5BCA1212" w14:textId="77777777" w:rsidR="007A6571" w:rsidRDefault="007A6571" w:rsidP="007A6571">
      <w:pPr>
        <w:pStyle w:val="NormalWeb"/>
        <w:shd w:val="clear" w:color="auto" w:fill="FFFFFF"/>
        <w:spacing w:before="0" w:beforeAutospacing="0" w:after="0" w:afterAutospacing="0"/>
        <w:rPr>
          <w:rFonts w:ascii="Calibri" w:hAnsi="Calibri" w:cs="Calibri"/>
          <w:color w:val="333333"/>
        </w:rPr>
      </w:pPr>
      <w:r w:rsidRPr="007F4524">
        <w:rPr>
          <w:rFonts w:ascii="Calibri" w:hAnsi="Calibri" w:cs="Calibri"/>
          <w:b/>
          <w:bCs/>
          <w:color w:val="333333"/>
        </w:rPr>
        <w:t>Other: </w:t>
      </w:r>
      <w:r w:rsidRPr="00B07873">
        <w:rPr>
          <w:rFonts w:ascii="Calibri" w:hAnsi="Calibri" w:cs="Calibri"/>
          <w:color w:val="333333"/>
        </w:rPr>
        <w:t xml:space="preserve">An activity that uses blended, </w:t>
      </w:r>
      <w:proofErr w:type="gramStart"/>
      <w:r w:rsidRPr="00B07873">
        <w:rPr>
          <w:rFonts w:ascii="Calibri" w:hAnsi="Calibri" w:cs="Calibri"/>
          <w:color w:val="333333"/>
        </w:rPr>
        <w:t>new</w:t>
      </w:r>
      <w:proofErr w:type="gramEnd"/>
      <w:r w:rsidRPr="00B07873">
        <w:rPr>
          <w:rFonts w:ascii="Calibri" w:hAnsi="Calibri" w:cs="Calibri"/>
          <w:color w:val="333333"/>
        </w:rPr>
        <w:t xml:space="preserve"> or unique approaches to learning and that does not fit into one of the established activity types. </w:t>
      </w:r>
    </w:p>
    <w:p w14:paraId="722427C2" w14:textId="77777777" w:rsidR="007A6571" w:rsidRDefault="007A6571" w:rsidP="007A6571">
      <w:pPr>
        <w:pStyle w:val="NormalWeb"/>
        <w:shd w:val="clear" w:color="auto" w:fill="FFFFFF"/>
        <w:spacing w:before="0" w:beforeAutospacing="0" w:after="0" w:afterAutospacing="0"/>
        <w:rPr>
          <w:rFonts w:ascii="Calibri" w:hAnsi="Calibri" w:cs="Calibri"/>
          <w:color w:val="333333"/>
        </w:rPr>
      </w:pPr>
    </w:p>
    <w:p w14:paraId="70163AE7" w14:textId="77777777" w:rsidR="007A6571" w:rsidRPr="007F4524" w:rsidRDefault="007A6571" w:rsidP="007A6571">
      <w:pPr>
        <w:pStyle w:val="NormalWeb"/>
        <w:shd w:val="clear" w:color="auto" w:fill="FFFFFF"/>
        <w:spacing w:before="0" w:beforeAutospacing="0" w:after="0" w:afterAutospacing="0"/>
        <w:rPr>
          <w:rFonts w:ascii="Calibri" w:hAnsi="Calibri" w:cs="Calibri"/>
          <w:color w:val="333333"/>
        </w:rPr>
      </w:pPr>
    </w:p>
    <w:p w14:paraId="150E566B" w14:textId="77777777" w:rsidR="002F2AD6" w:rsidRDefault="002F2AD6"/>
    <w:sectPr w:rsidR="002F2A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4BD7" w14:textId="77777777" w:rsidR="004E76A1" w:rsidRDefault="004E76A1" w:rsidP="004E76A1">
      <w:pPr>
        <w:spacing w:after="0" w:line="240" w:lineRule="auto"/>
      </w:pPr>
      <w:r>
        <w:separator/>
      </w:r>
    </w:p>
  </w:endnote>
  <w:endnote w:type="continuationSeparator" w:id="0">
    <w:p w14:paraId="68397969" w14:textId="77777777" w:rsidR="004E76A1" w:rsidRDefault="004E76A1" w:rsidP="004E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1ECC" w14:textId="77777777" w:rsidR="004E76A1" w:rsidRDefault="004E76A1" w:rsidP="004E76A1">
      <w:pPr>
        <w:spacing w:after="0" w:line="240" w:lineRule="auto"/>
      </w:pPr>
      <w:r>
        <w:separator/>
      </w:r>
    </w:p>
  </w:footnote>
  <w:footnote w:type="continuationSeparator" w:id="0">
    <w:p w14:paraId="05694F50" w14:textId="77777777" w:rsidR="004E76A1" w:rsidRDefault="004E76A1" w:rsidP="004E7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0AD2" w14:textId="71A93985" w:rsidR="004E76A1" w:rsidRDefault="004E76A1">
    <w:pPr>
      <w:pStyle w:val="Header"/>
    </w:pPr>
    <w:r>
      <w:rPr>
        <w:noProof/>
      </w:rPr>
      <w:drawing>
        <wp:inline distT="0" distB="0" distL="0" distR="0" wp14:anchorId="0410936A" wp14:editId="27FAAF07">
          <wp:extent cx="5943600" cy="63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31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71"/>
    <w:rsid w:val="002F2AD6"/>
    <w:rsid w:val="004E76A1"/>
    <w:rsid w:val="00631D5C"/>
    <w:rsid w:val="007233EA"/>
    <w:rsid w:val="00725674"/>
    <w:rsid w:val="007A6571"/>
    <w:rsid w:val="00C0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CC7C"/>
  <w15:chartTrackingRefBased/>
  <w15:docId w15:val="{36437E58-912F-4AAA-9A67-A137AD0D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6571"/>
    <w:rPr>
      <w:sz w:val="16"/>
      <w:szCs w:val="16"/>
    </w:rPr>
  </w:style>
  <w:style w:type="paragraph" w:styleId="CommentText">
    <w:name w:val="annotation text"/>
    <w:basedOn w:val="Normal"/>
    <w:link w:val="CommentTextChar"/>
    <w:uiPriority w:val="99"/>
    <w:semiHidden/>
    <w:unhideWhenUsed/>
    <w:rsid w:val="007A6571"/>
    <w:pPr>
      <w:spacing w:line="240" w:lineRule="auto"/>
    </w:pPr>
    <w:rPr>
      <w:sz w:val="20"/>
      <w:szCs w:val="20"/>
    </w:rPr>
  </w:style>
  <w:style w:type="character" w:customStyle="1" w:styleId="CommentTextChar">
    <w:name w:val="Comment Text Char"/>
    <w:basedOn w:val="DefaultParagraphFont"/>
    <w:link w:val="CommentText"/>
    <w:uiPriority w:val="99"/>
    <w:semiHidden/>
    <w:rsid w:val="007A6571"/>
    <w:rPr>
      <w:sz w:val="20"/>
      <w:szCs w:val="20"/>
    </w:rPr>
  </w:style>
  <w:style w:type="paragraph" w:styleId="NormalWeb">
    <w:name w:val="Normal (Web)"/>
    <w:basedOn w:val="Normal"/>
    <w:uiPriority w:val="99"/>
    <w:unhideWhenUsed/>
    <w:rsid w:val="007A6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571"/>
    <w:rPr>
      <w:b/>
      <w:bCs/>
    </w:rPr>
  </w:style>
  <w:style w:type="character" w:styleId="Emphasis">
    <w:name w:val="Emphasis"/>
    <w:basedOn w:val="DefaultParagraphFont"/>
    <w:uiPriority w:val="20"/>
    <w:qFormat/>
    <w:rsid w:val="007A6571"/>
    <w:rPr>
      <w:i/>
      <w:iCs/>
    </w:rPr>
  </w:style>
  <w:style w:type="paragraph" w:styleId="Header">
    <w:name w:val="header"/>
    <w:basedOn w:val="Normal"/>
    <w:link w:val="HeaderChar"/>
    <w:uiPriority w:val="99"/>
    <w:unhideWhenUsed/>
    <w:rsid w:val="004E7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A1"/>
  </w:style>
  <w:style w:type="paragraph" w:styleId="Footer">
    <w:name w:val="footer"/>
    <w:basedOn w:val="Normal"/>
    <w:link w:val="FooterChar"/>
    <w:uiPriority w:val="99"/>
    <w:unhideWhenUsed/>
    <w:rsid w:val="004E7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A1"/>
  </w:style>
  <w:style w:type="paragraph" w:styleId="Revision">
    <w:name w:val="Revision"/>
    <w:hidden/>
    <w:uiPriority w:val="99"/>
    <w:semiHidden/>
    <w:rsid w:val="00725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Lynn</dc:creator>
  <cp:keywords/>
  <dc:description/>
  <cp:lastModifiedBy>Hancock, Lynn</cp:lastModifiedBy>
  <cp:revision>5</cp:revision>
  <cp:lastPrinted>2023-03-21T16:12:00Z</cp:lastPrinted>
  <dcterms:created xsi:type="dcterms:W3CDTF">2023-02-01T16:40:00Z</dcterms:created>
  <dcterms:modified xsi:type="dcterms:W3CDTF">2023-03-21T16:43:00Z</dcterms:modified>
</cp:coreProperties>
</file>